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AB" w:rsidRDefault="00621F6A" w:rsidP="003C4E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58AB" w:rsidRPr="002858AB">
        <w:rPr>
          <w:rFonts w:ascii="Times New Roman" w:hAnsi="Times New Roman" w:cs="Times New Roman"/>
          <w:b/>
          <w:sz w:val="24"/>
          <w:szCs w:val="24"/>
        </w:rPr>
        <w:t>Примерная стоимость работ по подтверждению соответствия продукции</w:t>
      </w:r>
      <w:r w:rsidR="002858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58AB" w:rsidRDefault="002858AB" w:rsidP="002858A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AB">
        <w:rPr>
          <w:rFonts w:ascii="Times New Roman" w:hAnsi="Times New Roman" w:cs="Times New Roman"/>
          <w:sz w:val="24"/>
          <w:szCs w:val="24"/>
        </w:rPr>
        <w:t>- обязательная сертификация на соответствие требованиям одного технического регламента Таможенного союз</w:t>
      </w:r>
      <w:r>
        <w:rPr>
          <w:rFonts w:ascii="Times New Roman" w:hAnsi="Times New Roman" w:cs="Times New Roman"/>
          <w:sz w:val="24"/>
          <w:szCs w:val="24"/>
        </w:rPr>
        <w:t>а (Евразийского экономического союза) -</w:t>
      </w:r>
      <w:r w:rsidRPr="002858AB">
        <w:rPr>
          <w:rFonts w:ascii="Times New Roman" w:hAnsi="Times New Roman" w:cs="Times New Roman"/>
          <w:sz w:val="24"/>
          <w:szCs w:val="24"/>
        </w:rPr>
        <w:t xml:space="preserve"> от 25000 (двадцати пяти тысяч) рублей; </w:t>
      </w:r>
    </w:p>
    <w:p w:rsidR="002858AB" w:rsidRDefault="002858AB" w:rsidP="002858A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AB">
        <w:rPr>
          <w:rFonts w:ascii="Times New Roman" w:hAnsi="Times New Roman" w:cs="Times New Roman"/>
          <w:sz w:val="24"/>
          <w:szCs w:val="24"/>
        </w:rPr>
        <w:t xml:space="preserve">Стоимость указана без учета стоимости проведения испытаний. Не является публичной офертой согласно положениям ст. 437 ч. 1 ГК РФ. </w:t>
      </w:r>
    </w:p>
    <w:p w:rsidR="008D0A91" w:rsidRPr="002858AB" w:rsidRDefault="002858AB" w:rsidP="002858A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AB">
        <w:rPr>
          <w:rFonts w:ascii="Times New Roman" w:hAnsi="Times New Roman" w:cs="Times New Roman"/>
          <w:sz w:val="24"/>
          <w:szCs w:val="24"/>
        </w:rPr>
        <w:t>Стоимость работ может быть изменена в зависимости от числа показателей, подтверждаемых при сертификации, технической сложности продукции, схе</w:t>
      </w:r>
      <w:r w:rsidR="00E74C42">
        <w:rPr>
          <w:rFonts w:ascii="Times New Roman" w:hAnsi="Times New Roman" w:cs="Times New Roman"/>
          <w:sz w:val="24"/>
          <w:szCs w:val="24"/>
        </w:rPr>
        <w:t>мы сертификации</w:t>
      </w:r>
      <w:r w:rsidRPr="002858AB">
        <w:rPr>
          <w:rFonts w:ascii="Times New Roman" w:hAnsi="Times New Roman" w:cs="Times New Roman"/>
          <w:sz w:val="24"/>
          <w:szCs w:val="24"/>
        </w:rPr>
        <w:t>, стоимости пров</w:t>
      </w:r>
      <w:r w:rsidRPr="002858AB">
        <w:rPr>
          <w:rFonts w:ascii="Times New Roman" w:hAnsi="Times New Roman" w:cs="Times New Roman"/>
          <w:sz w:val="24"/>
          <w:szCs w:val="24"/>
        </w:rPr>
        <w:t>е</w:t>
      </w:r>
      <w:r w:rsidRPr="002858AB">
        <w:rPr>
          <w:rFonts w:ascii="Times New Roman" w:hAnsi="Times New Roman" w:cs="Times New Roman"/>
          <w:sz w:val="24"/>
          <w:szCs w:val="24"/>
        </w:rPr>
        <w:t>дения испытаний, собственных затрат органа по сертификации на выполнение работ по по</w:t>
      </w:r>
      <w:r w:rsidRPr="002858AB">
        <w:rPr>
          <w:rFonts w:ascii="Times New Roman" w:hAnsi="Times New Roman" w:cs="Times New Roman"/>
          <w:sz w:val="24"/>
          <w:szCs w:val="24"/>
        </w:rPr>
        <w:t>д</w:t>
      </w:r>
      <w:r w:rsidRPr="002858AB">
        <w:rPr>
          <w:rFonts w:ascii="Times New Roman" w:hAnsi="Times New Roman" w:cs="Times New Roman"/>
          <w:sz w:val="24"/>
          <w:szCs w:val="24"/>
        </w:rPr>
        <w:t>тверждению соответствия, рыночной стоимости. Окончательная стоимость устанавливается в договоре, ко</w:t>
      </w:r>
      <w:r w:rsidR="00C93B8F">
        <w:rPr>
          <w:rFonts w:ascii="Times New Roman" w:hAnsi="Times New Roman" w:cs="Times New Roman"/>
          <w:sz w:val="24"/>
          <w:szCs w:val="24"/>
        </w:rPr>
        <w:t>торый подписывается с заявителем</w:t>
      </w:r>
      <w:r w:rsidRPr="002858AB">
        <w:rPr>
          <w:rFonts w:ascii="Times New Roman" w:hAnsi="Times New Roman" w:cs="Times New Roman"/>
          <w:sz w:val="24"/>
          <w:szCs w:val="24"/>
        </w:rPr>
        <w:t xml:space="preserve"> перед началом проведения работ.</w:t>
      </w:r>
    </w:p>
    <w:p w:rsidR="003C4ED6" w:rsidRPr="003C4ED6" w:rsidRDefault="003C4ED6" w:rsidP="003C4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Методика</w:t>
      </w:r>
      <w:r w:rsidRPr="003C4ED6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расчета стоимости работ по сертификации, включающую в себя правила определения стоимости работ по отбору образцов, стоимости проведения исследований (испытаний) и измерений, стоимости анализа состояния производства (в случае пров</w:t>
      </w:r>
      <w:r w:rsidRPr="003C4ED6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е</w:t>
      </w:r>
      <w:r w:rsidRPr="003C4ED6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дения) и стоимости иных затрат органа по сертификации продукции</w:t>
      </w:r>
      <w:proofErr w:type="gramEnd"/>
    </w:p>
    <w:p w:rsidR="003C4ED6" w:rsidRPr="003C4ED6" w:rsidRDefault="00184CA7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ОСП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ООО «ФЦС</w:t>
      </w:r>
      <w:r w:rsidR="003C4ED6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» 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является независимой от изготовителей и потребителей продукции трет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ь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ей стороной и действует на принципах хозяйственного расчета и самоуправления, исключа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ю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щих возможность оказания на него административного, коммерческого, финансового или иного давления, которое может повлиять на объективность проводимых работ по сертификации, а также дискриминацию в отношении Заявителей.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Работы по подтверждению соответствия </w:t>
      </w:r>
      <w:proofErr w:type="gramStart"/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в</w:t>
      </w:r>
      <w:proofErr w:type="gramEnd"/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ОСП</w:t>
      </w:r>
      <w:proofErr w:type="gramEnd"/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» 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проводятся по договору с З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явителем на платной основе. Методика распространяется на определение стоимости работ по по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д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тверждению соответствия в виде сертификации.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Оплата работ по с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ертификации продукции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основывается на следующих принципах: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все фактически произведенные работы по сертификации оплачиваются за счет собственных сре</w:t>
      </w:r>
      <w:proofErr w:type="gramStart"/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дств пр</w:t>
      </w:r>
      <w:proofErr w:type="gramEnd"/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едприятий, организаций, предпринимателей, обратившихся с заявкой на проведение соответствующих работ, вне зависимости от принятых по их результатам решений;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- дневная ставка экспертов, привлекаемых для выполнения работ по сертификации, включая работы по инспекционному </w:t>
      </w:r>
      <w:proofErr w:type="gramStart"/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контролю за</w:t>
      </w:r>
      <w:proofErr w:type="gramEnd"/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соответствием сертифицированных объектов требов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ниям нормативных документов (НД), принимаемая для расчета стоимости работ по сертифик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ции и инспекционному контролю, определяется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ОСП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» 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самостоятельно исходя из установленных в нем условий оплаты труда работников.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Общая стоимость работ по сертификации зависит от схемы сертификации продукции и  в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и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дов  работ проводимых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ОСП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»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, включая: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- рассмотрение заявки на сертификацию продукции, принятие решения о проведении работ по сертификации продукции, выбор схемы сертификации и заключение договора на проведение работ по сертификации продукции;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идентификация продукции и отбор образцов продукции для испытаний;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анализ протоколов испытаний;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анализ состояний производства (если предусмотрено схемой сертификации);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оценка соответствия продукции и подготовка решения о возможности выдачи сертификата соответствия;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оформление сертификата соответствия и регистрация его в реестре сертифицируемой пр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дукции;</w:t>
      </w:r>
    </w:p>
    <w:p w:rsid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проведение ИК сертифицируемой продукцией (если это предусмотрено схемой сертифик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ции).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Конкретный состав работ, выполн</w:t>
      </w:r>
      <w:r w:rsidR="00A6131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яемых ОСП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ООО </w:t>
      </w:r>
      <w:r w:rsidR="00A6131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» при сертификации и подлеж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щих оплате, зависит от установленной формы и схемы подтверждения соответствия.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proofErr w:type="gramStart"/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П</w:t>
      </w:r>
      <w:proofErr w:type="gramEnd"/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 xml:space="preserve"> р и м е ч а н и е:  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1. Оплата работ за все фактически проведенные работы по подтверждению соотве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т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 xml:space="preserve">ствия, оплачиваются за счет собственных средств заявителей, обратившихся с заявкой на 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lastRenderedPageBreak/>
        <w:t>проведение соответствующих работ, вне зависимости от принятых по их результатам реш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е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ний.</w:t>
      </w:r>
    </w:p>
    <w:p w:rsidR="00632CFB" w:rsidRDefault="00C845FC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2. У</w:t>
      </w:r>
      <w:r w:rsidR="00632CFB"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ровень рентабельности работ – не более 35%;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3. Стоимость работ по подтверждению соответствия, не включает командировочные расходы (оплата командировочных расходов специалистов ОСП производится в порядке, установленном законодательством Российской Федерации) и налог на добавленную сто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и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мость. Их оплата проводится заявителем дополнительно в порядке, установленном действ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у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ющим законодательством.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4. Хранение, транспортирование, включая погрузочно-разгрузочные работы, и утилизация образцов продукции, связанных с оказанием услуг по подтверждению соответствия оплачив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а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ются заявителем по фактически произведенным затратам.</w:t>
      </w:r>
    </w:p>
    <w:p w:rsidR="00632CFB" w:rsidRP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В общем случае размер платы за оказание услуг по сертификации продукции, формируется в соответствии со следующей формулой:</w:t>
      </w:r>
    </w:p>
    <w:p w:rsidR="00632CFB" w:rsidRPr="00632CFB" w:rsidRDefault="00632CFB" w:rsidP="0063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C = C1 + C2 + C3, </w:t>
      </w:r>
    </w:p>
    <w:p w:rsidR="00632CFB" w:rsidRPr="00632CFB" w:rsidRDefault="00632CFB" w:rsidP="00632CF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где: C — общая величина оплаты работ по сертификации;</w:t>
      </w:r>
    </w:p>
    <w:p w:rsidR="00632CFB" w:rsidRPr="00632CFB" w:rsidRDefault="00632CFB" w:rsidP="00632CF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   C1 — стоимость </w:t>
      </w:r>
      <w:r w:rsidR="00DA255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услуг ОСП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ООО </w:t>
      </w:r>
      <w:r w:rsidR="00DA255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»;</w:t>
      </w:r>
    </w:p>
    <w:p w:rsidR="00632CFB" w:rsidRPr="00632CFB" w:rsidRDefault="00F217C5" w:rsidP="003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  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C2 — стоимость испытаний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(исследований, </w:t>
      </w:r>
      <w:bookmarkStart w:id="0" w:name="_GoBack"/>
      <w:bookmarkEnd w:id="0"/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измерений)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продукции в аккредитованной испытательной лаборатории.</w:t>
      </w:r>
      <w:r w:rsidR="00632CFB" w:rsidRPr="00632CFB">
        <w:rPr>
          <w:rFonts w:ascii="Calibri" w:eastAsia="Calibri" w:hAnsi="Calibri" w:cs="Times New Roman"/>
        </w:rPr>
        <w:t xml:space="preserve"> 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Стоимость испытаний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(исследований, измерений)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для сертифик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ции продукции калькулируется аккредитованной испытательной лабораторией на основе сам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стоятел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ь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но установленных нормативов материальных и трудовых затрат в действующих ценах и доводится до сведения заинтересованных сторон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. 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При заключении договора или соглашения о сотрудн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и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честве ИЛ </w:t>
      </w:r>
      <w:proofErr w:type="gramStart"/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обязана</w:t>
      </w:r>
      <w:proofErr w:type="gramEnd"/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уведомлять ОС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о действующих расценках на испытания и 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каждом изменении своих тарифов. 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Общая стоимость затрат на проведение испытаний (измерений) определяется из видов продукции, подлежащих сертификации и видов испытаний (показат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е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лей). ОС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при работе с Заявителем определяет объем необходимых испытаний пр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и сертифик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ции продукции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и может предложить примерный расчет стоимости проведения исследований (испытаний) и из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мерений по ра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ценкам ИЛ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;</w:t>
      </w:r>
    </w:p>
    <w:p w:rsidR="00632CFB" w:rsidRDefault="00632CFB" w:rsidP="00632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   C3 — расходы по отбору, идентификации, упаковке и транспортировке образцов к м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е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сту испытаний при сертификации.</w:t>
      </w:r>
      <w:r w:rsidR="008F6ABF" w:rsidRPr="008F6ABF">
        <w:t xml:space="preserve"> 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Стоимость образцов, взятых у изготовителя для разруша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ю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щих испытаний, определяется по их фактической себестоимости.</w:t>
      </w:r>
      <w:r w:rsidR="008F6ABF" w:rsidRPr="008F6ABF">
        <w:t xml:space="preserve"> 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Оплата образцов, отобранных в торговле, проводится в соответствии с их розничной ценой на основании документов, удост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веряющих факт покупки.</w:t>
      </w:r>
      <w:r w:rsidR="008F6ABF" w:rsidRPr="008F6ABF">
        <w:t xml:space="preserve"> 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Расходы по отбору и доставке образцов к месту испытаний включают фактически произведенные ОС</w:t>
      </w:r>
      <w:r w:rsid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затраты на транспортировку, погрузочно-разгрузочные раб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ты, хранение и утилизацию, подтвержденные соответствующими документами.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Полный состав работ, выполняемых при сертификации и подлежащих оплате, включает:</w:t>
      </w:r>
    </w:p>
    <w:p w:rsidR="00632CFB" w:rsidRPr="00E74C42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- работы, выполн</w:t>
      </w:r>
      <w:r w:rsidR="008D0A91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яемые ОСП </w:t>
      </w:r>
      <w:r w:rsidR="00CC2B0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ООО </w:t>
      </w:r>
      <w:r w:rsidR="008D0A91" w:rsidRPr="00E74C42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ФЦС</w:t>
      </w:r>
      <w:r w:rsidRPr="00E74C42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»: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рассмотрение заявки на сертификацию продукции и принятие решения о проведении работ по сертификации продукции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отбор образцов для испытаний;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анализ протоколов испытаний;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анализ состояния производства;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оформление сертификата соответствия;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- инспекционный </w:t>
      </w:r>
      <w:proofErr w:type="gramStart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контроль за</w:t>
      </w:r>
      <w:proofErr w:type="gramEnd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сертифицированной продукцией, включая инспекционный контроль за состоянием производства;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- работы, выполняемые испытательными лабораториями (центрами) по договору с ОСП, включают: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proofErr w:type="gramStart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проведение испытаний (исследований, измерений) продукции (типового образца, партии продукции, единицы продукции) и оформление протоколов испытаний, выполняемые испыт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тельными лабораториями (центрами).</w:t>
      </w:r>
      <w:proofErr w:type="gramEnd"/>
    </w:p>
    <w:p w:rsidR="00632CFB" w:rsidRP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При определении размера платы за оказание услуг по сертификации продукции (С</w:t>
      </w:r>
      <w:proofErr w:type="gramStart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</w:t>
      </w:r>
      <w:proofErr w:type="gramEnd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), выпо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л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ня</w:t>
      </w:r>
      <w:r w:rsidR="008D0A91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емых ОСП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ООО </w:t>
      </w:r>
      <w:r w:rsidR="008D0A91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», используется следующая формула:</w:t>
      </w:r>
    </w:p>
    <w:p w:rsidR="00632CFB" w:rsidRPr="00632CFB" w:rsidRDefault="00632CFB" w:rsidP="00632C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C1 = (</w:t>
      </w:r>
      <w:proofErr w:type="spellStart"/>
      <w:r w:rsidR="008E17B9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Σ</w:t>
      </w:r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t</w:t>
      </w:r>
      <w:proofErr w:type="spellEnd"/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*T+К)*(1 + </w:t>
      </w:r>
      <w:proofErr w:type="gramStart"/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Р</w:t>
      </w:r>
      <w:proofErr w:type="gramEnd"/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/ 100),</w:t>
      </w:r>
    </w:p>
    <w:p w:rsidR="00632CFB" w:rsidRPr="00632CFB" w:rsidRDefault="00632CFB" w:rsidP="00632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lastRenderedPageBreak/>
        <w:t>где: T — расходы на оплату труда сотрудника ОСП (дневная ставка эксперта), (рублей в день);</w:t>
      </w:r>
    </w:p>
    <w:p w:rsidR="00632CFB" w:rsidRPr="00632CFB" w:rsidRDefault="00632CFB" w:rsidP="00632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   t — трудоемкость выполненных работ (чел</w:t>
      </w:r>
      <w:proofErr w:type="gramStart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.-</w:t>
      </w:r>
      <w:proofErr w:type="gramEnd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дней), определяемая в соответствии с та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б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лицей 1;</w:t>
      </w:r>
    </w:p>
    <w:p w:rsidR="00632CFB" w:rsidRPr="00632CFB" w:rsidRDefault="00632CFB" w:rsidP="00632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   </w:t>
      </w:r>
      <w:proofErr w:type="gramStart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К</w:t>
      </w:r>
      <w:proofErr w:type="gramEnd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- </w:t>
      </w:r>
      <w:proofErr w:type="gramStart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командировочные</w:t>
      </w:r>
      <w:proofErr w:type="gramEnd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расходы (руб.).</w:t>
      </w:r>
    </w:p>
    <w:p w:rsidR="00632CFB" w:rsidRDefault="00632CFB" w:rsidP="00632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   P — уровень рентабельности (процентов), не более 35%.</w:t>
      </w:r>
    </w:p>
    <w:p w:rsidR="007E521E" w:rsidRPr="007E521E" w:rsidRDefault="007E521E" w:rsidP="007E5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7E521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При выполнении работ во внеурочное время, выходные и праздничные </w:t>
      </w:r>
      <w:proofErr w:type="gramStart"/>
      <w:r w:rsidRPr="007E521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дни</w:t>
      </w:r>
      <w:proofErr w:type="gramEnd"/>
      <w:r w:rsidRPr="007E521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ниж</w:t>
      </w:r>
      <w:r w:rsidRPr="007E521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е</w:t>
      </w:r>
      <w:r w:rsidRPr="007E521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приведенные нормативы применяются с коэффициентом 2.</w:t>
      </w:r>
    </w:p>
    <w:p w:rsidR="00632CFB" w:rsidRPr="00632CFB" w:rsidRDefault="00632CFB" w:rsidP="00632C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FB">
        <w:rPr>
          <w:rFonts w:ascii="Times New Roman" w:eastAsia="Calibri" w:hAnsi="Times New Roman" w:cs="Times New Roman"/>
          <w:sz w:val="24"/>
          <w:szCs w:val="24"/>
        </w:rPr>
        <w:t xml:space="preserve">Таблица 1 - Трудоемкость услуг, оказываемых ОСП </w:t>
      </w:r>
      <w:r w:rsidR="00CC2B0C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632CFB">
        <w:rPr>
          <w:rFonts w:ascii="Times New Roman" w:eastAsia="Calibri" w:hAnsi="Times New Roman" w:cs="Times New Roman"/>
          <w:sz w:val="24"/>
          <w:szCs w:val="24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50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  <w:r w:rsidR="008E1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8E17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8E1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(чел</w:t>
            </w:r>
            <w:proofErr w:type="gramStart"/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дней)</w:t>
            </w:r>
          </w:p>
        </w:tc>
      </w:tr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Рассмотрение заявки сертификацию продукции с комплектом документов и принятие по ней решения</w:t>
            </w:r>
          </w:p>
        </w:tc>
        <w:tc>
          <w:tcPr>
            <w:tcW w:w="450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50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Анализ протоколов испытаний</w:t>
            </w:r>
          </w:p>
        </w:tc>
        <w:tc>
          <w:tcPr>
            <w:tcW w:w="450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таблицей 2</w:t>
            </w:r>
          </w:p>
        </w:tc>
      </w:tr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Анализ состояния производства</w:t>
            </w:r>
          </w:p>
        </w:tc>
        <w:tc>
          <w:tcPr>
            <w:tcW w:w="450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D839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таблицами 3, 4</w:t>
            </w:r>
          </w:p>
        </w:tc>
      </w:tr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Подготовка, оформление, регистрация и выдача сертификата соответствия, приложений к сертиф</w:t>
            </w: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</w:t>
            </w: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кату соответствия (в случае необходимости)</w:t>
            </w:r>
          </w:p>
        </w:tc>
        <w:tc>
          <w:tcPr>
            <w:tcW w:w="450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Инспекционный </w:t>
            </w:r>
            <w:proofErr w:type="gramStart"/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(одна пр</w:t>
            </w: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верка)</w:t>
            </w:r>
          </w:p>
        </w:tc>
        <w:tc>
          <w:tcPr>
            <w:tcW w:w="4500" w:type="dxa"/>
          </w:tcPr>
          <w:p w:rsidR="00FA6088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30%-70%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учетом индекса цен и тар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>фов за отчетный период)</w:t>
            </w: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трудоемкости работ, выполняемых при сертификации продукции (в зависимости от объема проверок, установленного программой инспекционного контроля)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включая 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имость работ по сбору и анализу данных о качестве сертифицированной проду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A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>6 чел</w:t>
            </w:r>
            <w:proofErr w:type="gramStart"/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>дней</w:t>
            </w:r>
            <w:r w:rsidR="0080161F" w:rsidRPr="0080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161F">
              <w:rPr>
                <w:rFonts w:ascii="Times New Roman" w:eastAsia="Calibri" w:hAnsi="Times New Roman" w:cs="Times New Roman"/>
                <w:sz w:val="24"/>
                <w:szCs w:val="24"/>
              </w:rPr>
              <w:t>для одной пр</w:t>
            </w:r>
            <w:r w:rsidR="008016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0161F">
              <w:rPr>
                <w:rFonts w:ascii="Times New Roman" w:eastAsia="Calibri" w:hAnsi="Times New Roman" w:cs="Times New Roman"/>
                <w:sz w:val="24"/>
                <w:szCs w:val="24"/>
              </w:rPr>
              <w:t>верки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а также 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разработки</w:t>
            </w:r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A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>1,5 чел.-дней) и контроля реализ</w:t>
            </w:r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>ции (</w:t>
            </w:r>
            <w:r w:rsidR="00FA6088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>2 чел</w:t>
            </w:r>
            <w:proofErr w:type="gramStart"/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>дней)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корректиру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щих мероприятий</w:t>
            </w:r>
          </w:p>
        </w:tc>
      </w:tr>
    </w:tbl>
    <w:p w:rsidR="00FA6088" w:rsidRPr="00E2441E" w:rsidRDefault="00FA6088" w:rsidP="00FA6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</w:pPr>
      <w:r w:rsidRPr="00E2441E">
        <w:rPr>
          <w:rFonts w:ascii="Times New Roman" w:eastAsia="Times New Roman" w:hAnsi="Times New Roman" w:cs="Times New Roman"/>
          <w:b/>
          <w:bCs/>
          <w:color w:val="3E3D3D"/>
          <w:sz w:val="24"/>
          <w:szCs w:val="24"/>
          <w:bdr w:val="none" w:sz="0" w:space="0" w:color="auto" w:frame="1"/>
          <w:lang w:eastAsia="ru-RU"/>
        </w:rPr>
        <w:t>Правила определения стоимост</w:t>
      </w:r>
      <w:r>
        <w:rPr>
          <w:rFonts w:ascii="Times New Roman" w:eastAsia="Times New Roman" w:hAnsi="Times New Roman" w:cs="Times New Roman"/>
          <w:b/>
          <w:bCs/>
          <w:color w:val="3E3D3D"/>
          <w:sz w:val="24"/>
          <w:szCs w:val="24"/>
          <w:bdr w:val="none" w:sz="0" w:space="0" w:color="auto" w:frame="1"/>
          <w:lang w:eastAsia="ru-RU"/>
        </w:rPr>
        <w:t>и инспекционного контроля</w:t>
      </w:r>
    </w:p>
    <w:p w:rsidR="00FA6088" w:rsidRPr="00E74C42" w:rsidRDefault="00FA6088" w:rsidP="00E74C42">
      <w:pPr>
        <w:pStyle w:val="formattext"/>
        <w:shd w:val="clear" w:color="auto" w:fill="FFFFFF"/>
        <w:spacing w:before="0" w:beforeAutospacing="0" w:after="0" w:afterAutospacing="0"/>
        <w:ind w:firstLine="480"/>
        <w:rPr>
          <w:b/>
          <w:color w:val="000000"/>
        </w:rPr>
      </w:pPr>
      <w:r w:rsidRPr="00FA6088">
        <w:rPr>
          <w:color w:val="000000"/>
        </w:rPr>
        <w:t>Стоимость инспекционного контроля  определяется по формуле</w:t>
      </w:r>
      <w:proofErr w:type="gramStart"/>
      <w:r w:rsidRPr="00FA6088">
        <w:rPr>
          <w:color w:val="000000"/>
        </w:rPr>
        <w:br/>
      </w:r>
      <w:r w:rsidRPr="00E74C42">
        <w:rPr>
          <w:b/>
          <w:color w:val="000000"/>
        </w:rPr>
        <w:t xml:space="preserve">                                                         </w:t>
      </w:r>
      <w:r w:rsidR="003B74FC">
        <w:rPr>
          <w:b/>
          <w:color w:val="000000"/>
        </w:rPr>
        <w:t xml:space="preserve"> </w:t>
      </w:r>
      <w:r w:rsidRPr="00E74C42">
        <w:rPr>
          <w:b/>
          <w:color w:val="000000"/>
        </w:rPr>
        <w:t xml:space="preserve"> С</w:t>
      </w:r>
      <w:proofErr w:type="gramEnd"/>
      <w:r w:rsidRPr="00E74C42">
        <w:rPr>
          <w:b/>
          <w:color w:val="000000"/>
        </w:rPr>
        <w:t>=К+</w:t>
      </w:r>
      <w:r w:rsidR="00245A71" w:rsidRPr="00E74C42">
        <w:rPr>
          <w:b/>
          <w:color w:val="000000"/>
        </w:rPr>
        <w:t>0,7 С1</w:t>
      </w:r>
      <w:r w:rsidRPr="00E74C42">
        <w:rPr>
          <w:b/>
          <w:color w:val="000000"/>
        </w:rPr>
        <w:t>+</w:t>
      </w:r>
      <w:r w:rsidRPr="00E74C42">
        <w:rPr>
          <w:b/>
          <w:color w:val="000000"/>
          <w:lang w:val="en-US"/>
        </w:rPr>
        <w:t>M</w:t>
      </w:r>
      <w:r w:rsidR="0080161F" w:rsidRPr="00E74C42">
        <w:rPr>
          <w:b/>
          <w:color w:val="000000"/>
        </w:rPr>
        <w:t>+Т</w:t>
      </w:r>
    </w:p>
    <w:p w:rsidR="00FA6088" w:rsidRPr="00FA6088" w:rsidRDefault="003B74FC" w:rsidP="00E74C42">
      <w:pPr>
        <w:pStyle w:val="format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FA6088" w:rsidRPr="00FA6088">
        <w:rPr>
          <w:color w:val="000000"/>
        </w:rPr>
        <w:t>где  </w:t>
      </w:r>
      <w:r w:rsidR="00FA6088">
        <w:rPr>
          <w:color w:val="000000"/>
          <w:lang w:val="en-US"/>
        </w:rPr>
        <w:t>K</w:t>
      </w:r>
      <w:r w:rsidR="00FA6088" w:rsidRPr="00FA6088">
        <w:rPr>
          <w:color w:val="000000"/>
        </w:rPr>
        <w:t xml:space="preserve"> - стоимость работ по сбору и анализу данных о качестве сертифицированной пр</w:t>
      </w:r>
      <w:r w:rsidR="00FA6088" w:rsidRPr="00FA6088">
        <w:rPr>
          <w:color w:val="000000"/>
        </w:rPr>
        <w:t>о</w:t>
      </w:r>
      <w:r w:rsidR="00FA6088">
        <w:rPr>
          <w:color w:val="000000"/>
        </w:rPr>
        <w:t>дукции</w:t>
      </w:r>
      <w:r w:rsidR="00FA6088" w:rsidRPr="00FA6088">
        <w:rPr>
          <w:color w:val="000000"/>
        </w:rPr>
        <w:t>, руб.</w:t>
      </w:r>
      <w:r w:rsidR="0080161F">
        <w:rPr>
          <w:color w:val="000000"/>
        </w:rPr>
        <w:t xml:space="preserve"> (</w:t>
      </w:r>
      <w:r w:rsidR="0080161F">
        <w:rPr>
          <w:rFonts w:eastAsia="Calibri"/>
        </w:rPr>
        <w:t>не более 6 чел</w:t>
      </w:r>
      <w:proofErr w:type="gramStart"/>
      <w:r w:rsidR="0080161F">
        <w:rPr>
          <w:rFonts w:eastAsia="Calibri"/>
        </w:rPr>
        <w:t>.-</w:t>
      </w:r>
      <w:proofErr w:type="gramEnd"/>
      <w:r w:rsidR="0080161F">
        <w:rPr>
          <w:rFonts w:eastAsia="Calibri"/>
        </w:rPr>
        <w:t>дней</w:t>
      </w:r>
      <w:r w:rsidR="0080161F" w:rsidRPr="0080161F">
        <w:rPr>
          <w:rFonts w:eastAsia="Calibri"/>
        </w:rPr>
        <w:t xml:space="preserve"> </w:t>
      </w:r>
      <w:r w:rsidR="0080161F">
        <w:rPr>
          <w:rFonts w:eastAsia="Calibri"/>
        </w:rPr>
        <w:t xml:space="preserve">для одной проверки, </w:t>
      </w:r>
      <w:r w:rsidR="0080161F">
        <w:rPr>
          <w:color w:val="000000"/>
        </w:rPr>
        <w:t>не более 60000 рублей</w:t>
      </w:r>
      <w:r w:rsidR="0080161F">
        <w:rPr>
          <w:rFonts w:eastAsia="Calibri"/>
        </w:rPr>
        <w:t>)</w:t>
      </w:r>
      <w:r w:rsidR="00FA6088" w:rsidRPr="00FA6088">
        <w:rPr>
          <w:color w:val="000000"/>
        </w:rPr>
        <w:t>;</w:t>
      </w:r>
    </w:p>
    <w:p w:rsidR="00245A71" w:rsidRDefault="00245A71" w:rsidP="00E74C4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>0,7С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</w:t>
      </w:r>
      <w:r w:rsidR="00FA6088" w:rsidRPr="00FA6088">
        <w:rPr>
          <w:color w:val="000000"/>
        </w:rPr>
        <w:t xml:space="preserve">- стоимость </w:t>
      </w:r>
      <w:r>
        <w:rPr>
          <w:color w:val="000000"/>
        </w:rPr>
        <w:t>работ в рамках инспекционного контроля, определяемая как 70% сто</w:t>
      </w:r>
      <w:r>
        <w:rPr>
          <w:color w:val="000000"/>
        </w:rPr>
        <w:t>и</w:t>
      </w:r>
      <w:r>
        <w:rPr>
          <w:color w:val="000000"/>
        </w:rPr>
        <w:t>мости работ при сертификации продукции (включая отбор и идентификацию</w:t>
      </w:r>
      <w:r w:rsidRPr="00245A71">
        <w:rPr>
          <w:color w:val="000000"/>
        </w:rPr>
        <w:t xml:space="preserve"> образцов для пр</w:t>
      </w:r>
      <w:r w:rsidRPr="00245A71">
        <w:rPr>
          <w:color w:val="000000"/>
        </w:rPr>
        <w:t>о</w:t>
      </w:r>
      <w:r w:rsidRPr="00245A71">
        <w:rPr>
          <w:color w:val="000000"/>
        </w:rPr>
        <w:t>ве</w:t>
      </w:r>
      <w:r>
        <w:rPr>
          <w:color w:val="000000"/>
        </w:rPr>
        <w:t>дения сертификационных испытаний, анализ протоколов испытаний, а</w:t>
      </w:r>
      <w:r w:rsidRPr="00245A71">
        <w:rPr>
          <w:color w:val="000000"/>
        </w:rPr>
        <w:t>нализ состояния пр</w:t>
      </w:r>
      <w:r w:rsidRPr="00245A71">
        <w:rPr>
          <w:color w:val="000000"/>
        </w:rPr>
        <w:t>о</w:t>
      </w:r>
      <w:r w:rsidRPr="00245A71">
        <w:rPr>
          <w:color w:val="000000"/>
        </w:rPr>
        <w:t>изводства</w:t>
      </w:r>
      <w:r>
        <w:rPr>
          <w:color w:val="000000"/>
        </w:rPr>
        <w:t>, подготовку, оформление, регистрацию и выдачу</w:t>
      </w:r>
      <w:r w:rsidRPr="00245A71">
        <w:rPr>
          <w:color w:val="000000"/>
        </w:rPr>
        <w:t xml:space="preserve"> </w:t>
      </w:r>
      <w:r>
        <w:rPr>
          <w:color w:val="000000"/>
        </w:rPr>
        <w:t xml:space="preserve">заключения (акта) инспекционной проверки). Без учета стоимости контрольных испытаний, расходов по </w:t>
      </w:r>
      <w:r w:rsidRPr="00245A71">
        <w:rPr>
          <w:color w:val="000000"/>
        </w:rPr>
        <w:t>упаковке и транспорт</w:t>
      </w:r>
      <w:r w:rsidRPr="00245A71">
        <w:rPr>
          <w:color w:val="000000"/>
        </w:rPr>
        <w:t>и</w:t>
      </w:r>
      <w:r w:rsidRPr="00245A71">
        <w:rPr>
          <w:color w:val="000000"/>
        </w:rPr>
        <w:t>ровке образцов к месту испытаний</w:t>
      </w:r>
    </w:p>
    <w:p w:rsidR="00FA6088" w:rsidRPr="0080161F" w:rsidRDefault="0080161F" w:rsidP="00E74C4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>М</w:t>
      </w:r>
      <w:r w:rsidR="00E74C42">
        <w:rPr>
          <w:color w:val="000000"/>
        </w:rPr>
        <w:t xml:space="preserve"> </w:t>
      </w:r>
      <w:r w:rsidR="00FA6088" w:rsidRPr="00FA6088">
        <w:rPr>
          <w:color w:val="000000"/>
        </w:rPr>
        <w:t>- стоимость разработки корректирующих мероприятий, руб.</w:t>
      </w:r>
      <w:r w:rsidR="00E74C42">
        <w:rPr>
          <w:color w:val="000000"/>
        </w:rPr>
        <w:t>, фиксированная ставка</w:t>
      </w:r>
      <w:r>
        <w:rPr>
          <w:color w:val="000000"/>
        </w:rPr>
        <w:t xml:space="preserve"> 15000 рублей</w:t>
      </w:r>
      <w:r w:rsidRPr="0080161F">
        <w:rPr>
          <w:color w:val="000000"/>
        </w:rPr>
        <w:t>;</w:t>
      </w:r>
    </w:p>
    <w:p w:rsidR="0080161F" w:rsidRPr="0080161F" w:rsidRDefault="0080161F" w:rsidP="00E74C4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>Т</w:t>
      </w:r>
      <w:r w:rsidR="00E74C42">
        <w:rPr>
          <w:color w:val="000000"/>
        </w:rPr>
        <w:t xml:space="preserve"> </w:t>
      </w:r>
      <w:r w:rsidRPr="00FA6088">
        <w:rPr>
          <w:color w:val="000000"/>
        </w:rPr>
        <w:t>- стоимость</w:t>
      </w:r>
      <w:r>
        <w:rPr>
          <w:color w:val="000000"/>
        </w:rPr>
        <w:t xml:space="preserve"> контроля реализации</w:t>
      </w:r>
      <w:r w:rsidRPr="00FA6088">
        <w:rPr>
          <w:color w:val="000000"/>
        </w:rPr>
        <w:t xml:space="preserve"> корректирующих мероприятий, руб.</w:t>
      </w:r>
      <w:r>
        <w:rPr>
          <w:color w:val="000000"/>
        </w:rPr>
        <w:t xml:space="preserve">, </w:t>
      </w:r>
      <w:r w:rsidR="00E74C42">
        <w:rPr>
          <w:color w:val="000000"/>
        </w:rPr>
        <w:t xml:space="preserve">фиксированная ставка </w:t>
      </w:r>
      <w:r>
        <w:rPr>
          <w:color w:val="000000"/>
        </w:rPr>
        <w:t>20000 рублей</w:t>
      </w:r>
      <w:r w:rsidR="00245A71">
        <w:rPr>
          <w:color w:val="000000"/>
        </w:rPr>
        <w:t>.</w:t>
      </w:r>
    </w:p>
    <w:p w:rsidR="00632CFB" w:rsidRPr="00632CFB" w:rsidRDefault="00632CFB" w:rsidP="00E74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FB">
        <w:rPr>
          <w:rFonts w:ascii="Times New Roman" w:eastAsia="Calibri" w:hAnsi="Times New Roman" w:cs="Times New Roman"/>
          <w:sz w:val="24"/>
          <w:szCs w:val="24"/>
        </w:rPr>
        <w:t xml:space="preserve">Таблица 2 - Трудоемкость анализа протоколов испытаний, проводимого ОСП </w:t>
      </w:r>
      <w:r w:rsidR="00CC2B0C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632CFB">
        <w:rPr>
          <w:rFonts w:ascii="Times New Roman" w:eastAsia="Calibri" w:hAnsi="Times New Roman" w:cs="Times New Roman"/>
          <w:sz w:val="24"/>
          <w:szCs w:val="24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Calibri" w:hAnsi="Times New Roman" w:cs="Times New Roman"/>
          <w:sz w:val="24"/>
          <w:szCs w:val="24"/>
        </w:rPr>
        <w:t>» при сертификации продукции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63"/>
        <w:gridCol w:w="2374"/>
      </w:tblGrid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требований к продукции, установленных техническим регл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ментом, документами в области стандартизации и иными докуме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тами, устанавливающих требования к объектам подтверждения с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ответствия, и (или) требования к объектам подтверждения соотве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Трудоемкость</w:t>
            </w:r>
          </w:p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</w:t>
            </w:r>
            <w:proofErr w:type="gramStart"/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дней)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lastRenderedPageBreak/>
              <w:t>до 5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0,2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6 до 10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0,5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11 до 20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21 до 50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1,1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50 до 80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1,2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81 до 120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1,5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121 до 150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1,8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151 до 200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2,2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201 до 250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2,5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251 до 300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2,7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301 до 350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2,8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свыше 350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3</w:t>
            </w:r>
          </w:p>
        </w:tc>
      </w:tr>
    </w:tbl>
    <w:p w:rsidR="00E2441E" w:rsidRPr="00E2441E" w:rsidRDefault="00E2441E" w:rsidP="00E24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</w:pPr>
      <w:r w:rsidRPr="00E2441E">
        <w:rPr>
          <w:rFonts w:ascii="Times New Roman" w:eastAsia="Times New Roman" w:hAnsi="Times New Roman" w:cs="Times New Roman"/>
          <w:b/>
          <w:bCs/>
          <w:color w:val="3E3D3D"/>
          <w:sz w:val="24"/>
          <w:szCs w:val="24"/>
          <w:bdr w:val="none" w:sz="0" w:space="0" w:color="auto" w:frame="1"/>
          <w:lang w:eastAsia="ru-RU"/>
        </w:rPr>
        <w:t>Правила определения стоимости анализа состояния производства</w:t>
      </w:r>
    </w:p>
    <w:p w:rsidR="00E2441E" w:rsidRDefault="00E2441E" w:rsidP="00E2441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</w:pP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В случае</w:t>
      </w:r>
      <w:proofErr w:type="gramStart"/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,</w:t>
      </w:r>
      <w:proofErr w:type="gramEnd"/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 xml:space="preserve"> если при сертификации продукции выбрана схема предусматривающая анализ с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о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стояния производства, то учитывают трудоемкость работ, выполняемых работниками ОС</w:t>
      </w:r>
      <w:r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П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 xml:space="preserve"> при анализе состояния производства.</w:t>
      </w:r>
    </w:p>
    <w:p w:rsidR="00E2441E" w:rsidRPr="00E2441E" w:rsidRDefault="00E2441E" w:rsidP="00E2441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</w:pP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Нормативы трудоемкости анализа состояния производства зависят от сложности сертиф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и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цируемой продукции и сложности ее производства. Эксперт при выполнении работ по серт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и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фикации анализирует продукцию по числу технологических операций при ее производстве и группу сложности ее производства, используя нормативы трудоемкости работ, которые прив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дены в Таблицах 3, 4.</w:t>
      </w:r>
    </w:p>
    <w:p w:rsidR="00632CFB" w:rsidRPr="00632CFB" w:rsidRDefault="00632CFB" w:rsidP="00632CFB">
      <w:pPr>
        <w:spacing w:after="0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32CF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Таблица 3</w:t>
      </w:r>
      <w:r w:rsidRPr="00632CFB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- </w:t>
      </w:r>
      <w:r w:rsidRPr="00632CF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Трудоемкость работ, проводимых при анализе состояния производства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5068"/>
        <w:gridCol w:w="5105"/>
      </w:tblGrid>
      <w:tr w:rsidR="00F217C5" w:rsidRPr="00632CFB" w:rsidTr="00F217C5">
        <w:trPr>
          <w:trHeight w:val="370"/>
        </w:trPr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сложности производства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(чел</w:t>
            </w:r>
            <w:proofErr w:type="gramStart"/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дней)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632CFB" w:rsidRPr="00632CFB" w:rsidRDefault="00632CFB" w:rsidP="00632CFB">
      <w:pPr>
        <w:spacing w:after="0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32CF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Таблица 4</w:t>
      </w:r>
      <w:r w:rsidRPr="00632CF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- </w:t>
      </w:r>
      <w:r w:rsidRPr="00632CF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Группы сложности производства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  <w:gridCol w:w="5067"/>
      </w:tblGrid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сложности производства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число технологических операций при производстве продукции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 – 3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4 – 10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11 – 20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21 – 50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51 – 200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201 – 2000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2001 – 5000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более 5000</w:t>
            </w:r>
          </w:p>
        </w:tc>
      </w:tr>
    </w:tbl>
    <w:p w:rsidR="00632CFB" w:rsidRPr="00632CFB" w:rsidRDefault="00632CFB" w:rsidP="00245A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32CFB" w:rsidRPr="00632CFB" w:rsidSect="00F66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D38"/>
    <w:multiLevelType w:val="hybridMultilevel"/>
    <w:tmpl w:val="0ECC1794"/>
    <w:lvl w:ilvl="0" w:tplc="335EF0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84CD7"/>
    <w:multiLevelType w:val="hybridMultilevel"/>
    <w:tmpl w:val="B0F4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6674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1285"/>
    <w:multiLevelType w:val="multilevel"/>
    <w:tmpl w:val="4BD0E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5AA5"/>
    <w:multiLevelType w:val="hybridMultilevel"/>
    <w:tmpl w:val="6F9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C"/>
    <w:rsid w:val="00010467"/>
    <w:rsid w:val="00040269"/>
    <w:rsid w:val="00051566"/>
    <w:rsid w:val="00055EB5"/>
    <w:rsid w:val="00064077"/>
    <w:rsid w:val="0006462A"/>
    <w:rsid w:val="0008674E"/>
    <w:rsid w:val="000A1E59"/>
    <w:rsid w:val="000C0CC6"/>
    <w:rsid w:val="000D3DB7"/>
    <w:rsid w:val="001173C8"/>
    <w:rsid w:val="00117571"/>
    <w:rsid w:val="00121336"/>
    <w:rsid w:val="0012274E"/>
    <w:rsid w:val="00145A88"/>
    <w:rsid w:val="001722F1"/>
    <w:rsid w:val="00184CA7"/>
    <w:rsid w:val="001F7983"/>
    <w:rsid w:val="00221092"/>
    <w:rsid w:val="0022596E"/>
    <w:rsid w:val="00237ED9"/>
    <w:rsid w:val="00245A71"/>
    <w:rsid w:val="002628D3"/>
    <w:rsid w:val="002671E4"/>
    <w:rsid w:val="002858AB"/>
    <w:rsid w:val="003111B0"/>
    <w:rsid w:val="00333C1A"/>
    <w:rsid w:val="00335E76"/>
    <w:rsid w:val="00372BD0"/>
    <w:rsid w:val="00374A82"/>
    <w:rsid w:val="003876C7"/>
    <w:rsid w:val="00396ACF"/>
    <w:rsid w:val="00397F50"/>
    <w:rsid w:val="003B74FC"/>
    <w:rsid w:val="003C39DE"/>
    <w:rsid w:val="003C4ED6"/>
    <w:rsid w:val="003D5B5A"/>
    <w:rsid w:val="003D67A2"/>
    <w:rsid w:val="003E4676"/>
    <w:rsid w:val="003F3712"/>
    <w:rsid w:val="004045D6"/>
    <w:rsid w:val="00423EFD"/>
    <w:rsid w:val="00441597"/>
    <w:rsid w:val="00463C5B"/>
    <w:rsid w:val="004821B2"/>
    <w:rsid w:val="00486541"/>
    <w:rsid w:val="004B002B"/>
    <w:rsid w:val="004C1ED8"/>
    <w:rsid w:val="004D1C42"/>
    <w:rsid w:val="004D43AC"/>
    <w:rsid w:val="00506970"/>
    <w:rsid w:val="00507B78"/>
    <w:rsid w:val="00512E77"/>
    <w:rsid w:val="00543824"/>
    <w:rsid w:val="0056386B"/>
    <w:rsid w:val="005E3A3F"/>
    <w:rsid w:val="005F2C81"/>
    <w:rsid w:val="006020E4"/>
    <w:rsid w:val="0061224A"/>
    <w:rsid w:val="00614F42"/>
    <w:rsid w:val="00621F6A"/>
    <w:rsid w:val="00624F38"/>
    <w:rsid w:val="00632CFB"/>
    <w:rsid w:val="00634291"/>
    <w:rsid w:val="00646D37"/>
    <w:rsid w:val="006672A0"/>
    <w:rsid w:val="006E1362"/>
    <w:rsid w:val="006E50F5"/>
    <w:rsid w:val="006F6FE7"/>
    <w:rsid w:val="006F7EC7"/>
    <w:rsid w:val="00704AD8"/>
    <w:rsid w:val="00721EB4"/>
    <w:rsid w:val="0074006A"/>
    <w:rsid w:val="00785FAD"/>
    <w:rsid w:val="007A0FDC"/>
    <w:rsid w:val="007C31CE"/>
    <w:rsid w:val="007D6D42"/>
    <w:rsid w:val="007E0C86"/>
    <w:rsid w:val="007E521E"/>
    <w:rsid w:val="00800CB2"/>
    <w:rsid w:val="00801303"/>
    <w:rsid w:val="0080161F"/>
    <w:rsid w:val="00807D3E"/>
    <w:rsid w:val="00830DB3"/>
    <w:rsid w:val="00876997"/>
    <w:rsid w:val="008D01C5"/>
    <w:rsid w:val="008D0A91"/>
    <w:rsid w:val="008D0BDE"/>
    <w:rsid w:val="008D2055"/>
    <w:rsid w:val="008E17B9"/>
    <w:rsid w:val="008F44F5"/>
    <w:rsid w:val="008F6ABF"/>
    <w:rsid w:val="00911A95"/>
    <w:rsid w:val="00914CD0"/>
    <w:rsid w:val="009450DD"/>
    <w:rsid w:val="00966C58"/>
    <w:rsid w:val="009900AA"/>
    <w:rsid w:val="009B55C5"/>
    <w:rsid w:val="00A05BFF"/>
    <w:rsid w:val="00A234FD"/>
    <w:rsid w:val="00A32231"/>
    <w:rsid w:val="00A3393C"/>
    <w:rsid w:val="00A409CF"/>
    <w:rsid w:val="00A412AE"/>
    <w:rsid w:val="00A43C7B"/>
    <w:rsid w:val="00A61318"/>
    <w:rsid w:val="00A927B8"/>
    <w:rsid w:val="00AB10D2"/>
    <w:rsid w:val="00AB1A96"/>
    <w:rsid w:val="00AF0166"/>
    <w:rsid w:val="00B039C8"/>
    <w:rsid w:val="00B1043E"/>
    <w:rsid w:val="00B14046"/>
    <w:rsid w:val="00B21E94"/>
    <w:rsid w:val="00B74D43"/>
    <w:rsid w:val="00C04F04"/>
    <w:rsid w:val="00C115A2"/>
    <w:rsid w:val="00C16EA5"/>
    <w:rsid w:val="00C35166"/>
    <w:rsid w:val="00C61E61"/>
    <w:rsid w:val="00C642EC"/>
    <w:rsid w:val="00C845FC"/>
    <w:rsid w:val="00C92F8F"/>
    <w:rsid w:val="00C93B8F"/>
    <w:rsid w:val="00C966B2"/>
    <w:rsid w:val="00CB60D1"/>
    <w:rsid w:val="00CC2B0C"/>
    <w:rsid w:val="00CD6D7A"/>
    <w:rsid w:val="00D07BD7"/>
    <w:rsid w:val="00D15A01"/>
    <w:rsid w:val="00D22B93"/>
    <w:rsid w:val="00D47B69"/>
    <w:rsid w:val="00D53192"/>
    <w:rsid w:val="00D575F3"/>
    <w:rsid w:val="00D7425B"/>
    <w:rsid w:val="00D8101E"/>
    <w:rsid w:val="00D8393E"/>
    <w:rsid w:val="00D915E2"/>
    <w:rsid w:val="00DA255F"/>
    <w:rsid w:val="00DA791C"/>
    <w:rsid w:val="00DB7118"/>
    <w:rsid w:val="00DC3BF6"/>
    <w:rsid w:val="00E14701"/>
    <w:rsid w:val="00E200F2"/>
    <w:rsid w:val="00E217B7"/>
    <w:rsid w:val="00E2331E"/>
    <w:rsid w:val="00E2441E"/>
    <w:rsid w:val="00E3446B"/>
    <w:rsid w:val="00E41F2A"/>
    <w:rsid w:val="00E46BFC"/>
    <w:rsid w:val="00E67497"/>
    <w:rsid w:val="00E73937"/>
    <w:rsid w:val="00E74C42"/>
    <w:rsid w:val="00EB4422"/>
    <w:rsid w:val="00EB69EC"/>
    <w:rsid w:val="00EF40D3"/>
    <w:rsid w:val="00F03843"/>
    <w:rsid w:val="00F217C5"/>
    <w:rsid w:val="00F26690"/>
    <w:rsid w:val="00F52763"/>
    <w:rsid w:val="00F61B43"/>
    <w:rsid w:val="00F62C73"/>
    <w:rsid w:val="00F6686D"/>
    <w:rsid w:val="00F678B2"/>
    <w:rsid w:val="00FA6088"/>
    <w:rsid w:val="00FB2ECE"/>
    <w:rsid w:val="00FD3391"/>
    <w:rsid w:val="00FE2942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6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915E2"/>
    <w:rPr>
      <w:color w:val="0000FF"/>
      <w:u w:val="single"/>
    </w:rPr>
  </w:style>
  <w:style w:type="paragraph" w:customStyle="1" w:styleId="22">
    <w:name w:val="Основной текст 22"/>
    <w:basedOn w:val="a"/>
    <w:rsid w:val="00D91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2E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2E77"/>
    <w:rPr>
      <w:sz w:val="16"/>
      <w:szCs w:val="16"/>
    </w:rPr>
  </w:style>
  <w:style w:type="table" w:styleId="ab">
    <w:name w:val="Table Grid"/>
    <w:basedOn w:val="a1"/>
    <w:uiPriority w:val="39"/>
    <w:rsid w:val="0063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A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6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915E2"/>
    <w:rPr>
      <w:color w:val="0000FF"/>
      <w:u w:val="single"/>
    </w:rPr>
  </w:style>
  <w:style w:type="paragraph" w:customStyle="1" w:styleId="22">
    <w:name w:val="Основной текст 22"/>
    <w:basedOn w:val="a"/>
    <w:rsid w:val="00D91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2E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2E77"/>
    <w:rPr>
      <w:sz w:val="16"/>
      <w:szCs w:val="16"/>
    </w:rPr>
  </w:style>
  <w:style w:type="table" w:styleId="ab">
    <w:name w:val="Table Grid"/>
    <w:basedOn w:val="a1"/>
    <w:uiPriority w:val="39"/>
    <w:rsid w:val="0063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A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трифонов</dc:creator>
  <cp:keywords/>
  <dc:description/>
  <cp:lastModifiedBy>сергей трифонов</cp:lastModifiedBy>
  <cp:revision>132</cp:revision>
  <dcterms:created xsi:type="dcterms:W3CDTF">2015-07-13T05:29:00Z</dcterms:created>
  <dcterms:modified xsi:type="dcterms:W3CDTF">2021-06-15T12:58:00Z</dcterms:modified>
</cp:coreProperties>
</file>